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F9E63" w14:textId="77777777" w:rsidR="00D610EE" w:rsidRDefault="00D610EE" w:rsidP="00D610EE">
      <w:pPr>
        <w:spacing w:after="7"/>
        <w:ind w:left="355" w:right="0"/>
      </w:pPr>
      <w:r>
        <w:rPr>
          <w:b/>
        </w:rPr>
        <w:t xml:space="preserve">Wymagania do oferty </w:t>
      </w:r>
    </w:p>
    <w:p w14:paraId="69EC4621" w14:textId="77777777" w:rsidR="00D610EE" w:rsidRDefault="00D610EE" w:rsidP="00D610EE">
      <w:pPr>
        <w:spacing w:after="1" w:line="259" w:lineRule="auto"/>
        <w:ind w:left="720" w:right="0" w:firstLine="0"/>
        <w:jc w:val="left"/>
      </w:pPr>
      <w:r>
        <w:t xml:space="preserve"> </w:t>
      </w:r>
      <w:r>
        <w:tab/>
      </w:r>
      <w:r>
        <w:rPr>
          <w:b/>
        </w:rPr>
        <w:t xml:space="preserve"> </w:t>
      </w:r>
    </w:p>
    <w:p w14:paraId="284B5E18" w14:textId="2AD3FE80" w:rsidR="00D610EE" w:rsidRDefault="00D610EE" w:rsidP="00D610EE">
      <w:pPr>
        <w:numPr>
          <w:ilvl w:val="1"/>
          <w:numId w:val="1"/>
        </w:numPr>
        <w:ind w:right="0" w:firstLine="283"/>
      </w:pPr>
      <w:r>
        <w:t xml:space="preserve">Dostarczenie opraw oświetleniowych, typu LED, spełniających wymagania Zamawiającego, </w:t>
      </w:r>
      <w:r w:rsidR="007F106C">
        <w:t xml:space="preserve">w ilości </w:t>
      </w:r>
      <w:r w:rsidR="00E53ECE">
        <w:t xml:space="preserve">655 </w:t>
      </w:r>
      <w:r w:rsidR="007F106C">
        <w:t xml:space="preserve">sztuk </w:t>
      </w:r>
      <w:r>
        <w:t>kosztem i staraniem Oferenta (</w:t>
      </w:r>
      <w:r>
        <w:rPr>
          <w:u w:val="single" w:color="000000"/>
        </w:rPr>
        <w:t>dostawa zgodnie z DDP INCOTERMS 2020, dodatkowo rozładunek</w:t>
      </w:r>
      <w:r>
        <w:t xml:space="preserve"> </w:t>
      </w:r>
      <w:r>
        <w:rPr>
          <w:u w:val="single" w:color="000000"/>
        </w:rPr>
        <w:t>po stronie Oferenta, miejscem rozładunku będzie lokalizacja wskazana przez uprawnionego przedstawiciela</w:t>
      </w:r>
      <w:r>
        <w:t xml:space="preserve"> </w:t>
      </w:r>
      <w:r>
        <w:rPr>
          <w:u w:val="single" w:color="000000"/>
        </w:rPr>
        <w:t>Zamawiającego – hala/ magazyn/ garaż</w:t>
      </w:r>
      <w:r>
        <w:t xml:space="preserve">). Bębny kablowe, palety EURO, kartony, opakowania zbiorcze, itd., traktowane są jako opakowania jednorazowe, </w:t>
      </w:r>
      <w:r>
        <w:rPr>
          <w:b/>
        </w:rPr>
        <w:t>nie podlegają fakturowaniu</w:t>
      </w:r>
      <w:r>
        <w:t xml:space="preserve">. Ewentualny odbiór bębnów oraz palet odbywa się kosztem i staraniem Oferenta, bez udziału Zamawiającego. </w:t>
      </w:r>
    </w:p>
    <w:p w14:paraId="6E658D17" w14:textId="1C98E134" w:rsidR="00D610EE" w:rsidRDefault="00D610EE" w:rsidP="00D610EE">
      <w:pPr>
        <w:numPr>
          <w:ilvl w:val="1"/>
          <w:numId w:val="1"/>
        </w:numPr>
        <w:ind w:right="0" w:firstLine="283"/>
      </w:pPr>
      <w:r>
        <w:t>Dostarczenie obliczeń fotometrycznych podpisanych przez uprawnionego projektanta w wersji elektronicznej (plik w formacie .PDF - skan obliczeń fotometrycznych z podpisami projektanta) razem ze złożoną ofertą dla wszystkich wytypowanych sytuacji</w:t>
      </w:r>
      <w:r w:rsidR="00623EEC">
        <w:t xml:space="preserve"> z załączonej tabeli</w:t>
      </w:r>
    </w:p>
    <w:p w14:paraId="04B4A62D" w14:textId="2157B45D" w:rsidR="00E019B3" w:rsidRDefault="00E019B3" w:rsidP="00D610EE">
      <w:pPr>
        <w:numPr>
          <w:ilvl w:val="1"/>
          <w:numId w:val="1"/>
        </w:numPr>
        <w:ind w:right="0" w:firstLine="283"/>
      </w:pPr>
      <w:r>
        <w:rPr>
          <w:b/>
        </w:rPr>
        <w:t>Dostarczenie Oświadczenia Oferenta</w:t>
      </w:r>
      <w:r>
        <w:t xml:space="preserve"> (wzór załączony do Zapytania ofertowego). Oświadczenie Oferenta stanowi część Oferty i w przypadku stwierdzenia braku Oświadczenia, Oferta będzie traktowana jako złożona nieskutecznie. Wszelkie zmiany treści Oświadczenia Oferenta są zabronione</w:t>
      </w:r>
    </w:p>
    <w:p w14:paraId="3AD69EF5" w14:textId="24B664E4" w:rsidR="00D610EE" w:rsidRDefault="00D610EE" w:rsidP="00D610EE">
      <w:pPr>
        <w:numPr>
          <w:ilvl w:val="1"/>
          <w:numId w:val="1"/>
        </w:numPr>
        <w:ind w:right="0" w:firstLine="283"/>
      </w:pPr>
      <w:r>
        <w:t xml:space="preserve">W Ofercie należy uwzględnić oprawy drogowe możliwe do dostarczenia w ciągu </w:t>
      </w:r>
      <w:r w:rsidR="00D7664A">
        <w:rPr>
          <w:b/>
        </w:rPr>
        <w:t>3</w:t>
      </w:r>
      <w:r>
        <w:rPr>
          <w:b/>
        </w:rPr>
        <w:t>-10 tygodni</w:t>
      </w:r>
      <w:r>
        <w:t xml:space="preserve"> od dnia przesłania zamówienia do Dostawcy – Oferent zobowiązany jest zadeklarować </w:t>
      </w:r>
      <w:r>
        <w:rPr>
          <w:strike/>
          <w:color w:val="0078D4"/>
        </w:rPr>
        <w:t xml:space="preserve"> </w:t>
      </w:r>
      <w:r>
        <w:t xml:space="preserve"> ilość tygodni na dostawę opraw. </w:t>
      </w:r>
    </w:p>
    <w:p w14:paraId="569CDF3D" w14:textId="77777777" w:rsidR="00D610EE" w:rsidRDefault="00D610EE" w:rsidP="00D610EE">
      <w:pPr>
        <w:numPr>
          <w:ilvl w:val="1"/>
          <w:numId w:val="1"/>
        </w:numPr>
        <w:spacing w:after="11" w:line="242" w:lineRule="auto"/>
        <w:ind w:right="0" w:firstLine="283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A29259" wp14:editId="17D51DA0">
                <wp:simplePos x="0" y="0"/>
                <wp:positionH relativeFrom="page">
                  <wp:posOffset>449580</wp:posOffset>
                </wp:positionH>
                <wp:positionV relativeFrom="page">
                  <wp:posOffset>4995667</wp:posOffset>
                </wp:positionV>
                <wp:extent cx="9144" cy="160020"/>
                <wp:effectExtent l="0" t="0" r="0" b="0"/>
                <wp:wrapSquare wrapText="bothSides"/>
                <wp:docPr id="7512" name="Group 7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60020"/>
                          <a:chOff x="0" y="0"/>
                          <a:chExt cx="9144" cy="160020"/>
                        </a:xfrm>
                      </wpg:grpSpPr>
                      <wps:wsp>
                        <wps:cNvPr id="10120" name="Shape 10120"/>
                        <wps:cNvSpPr/>
                        <wps:spPr>
                          <a:xfrm>
                            <a:off x="0" y="0"/>
                            <a:ext cx="91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0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0020"/>
                                </a:lnTo>
                                <a:lnTo>
                                  <a:pt x="0" y="160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DF2E21" id="Group 7512" o:spid="_x0000_s1026" style="position:absolute;margin-left:35.4pt;margin-top:393.35pt;width:.7pt;height:12.6pt;z-index:251659264;mso-position-horizontal-relative:page;mso-position-vertical-relative:page" coordsize="91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">
                <v:shape id="Shape 10120" o:spid="_x0000_s1027" style="position:absolute;width:9144;height:160020;visibility:visible;mso-wrap-style:square;v-text-anchor:top" coordsize="91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" path="m,l9144,r,160020l,160020,,e" fillcolor="black" stroked="f" strokeweight="0">
                  <v:stroke miterlimit="83231f" joinstyle="miter"/>
                  <v:path arrowok="t" textboxrect="0,0,9144,160020"/>
                </v:shape>
                <w10:wrap type="square" anchorx="page" anchory="page"/>
              </v:group>
            </w:pict>
          </mc:Fallback>
        </mc:AlternateContent>
      </w:r>
      <w:r>
        <w:t xml:space="preserve">Warunki gwarancji – 10 lat. Zapewnienie oprawy zamiennej na czas naprawy oprawy uszkodzonej: do 10 dni roboczych od momentu zgłoszenia awarii. Oprawę po naprawie należy dostarczyć do Zamawiającego w ciągu 14 dni roboczych od momentu wysłania uszkodzonej oprawy do reklamacji. </w:t>
      </w:r>
    </w:p>
    <w:p w14:paraId="7BAB5B8B" w14:textId="77777777" w:rsidR="00D7664A" w:rsidRDefault="00D610EE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B4564C">
        <w:rPr>
          <w:bCs/>
        </w:rPr>
        <w:t xml:space="preserve">Ze względu na konieczność utrzymania oszczędności zużycia energii elektrycznej na założonym poziomie nie ma możliwości stosowania w oprawach układu automatycznej redukcji ubytku strumienia świetlnego (bilans mocy opraw musi być stały w czasie trwałości projektu). </w:t>
      </w:r>
    </w:p>
    <w:p w14:paraId="2390C873" w14:textId="29F373B9" w:rsidR="00D7664A" w:rsidRPr="00D7664A" w:rsidRDefault="00D7664A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bCs/>
        </w:rPr>
        <w:t>Wszystkie oprawy oświetleniowe powinny być fabrycznie nowe i na dzień dostawy nie starsze niż 12 miesięcy od daty produkcji.</w:t>
      </w:r>
    </w:p>
    <w:p w14:paraId="33F40EF6" w14:textId="77777777" w:rsidR="00D7664A" w:rsidRDefault="00D610EE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bCs/>
        </w:rPr>
        <w:t>Do oferty należy załączyć karty techniczne oraz oświadczenie o zgodności parametrów opraw z wymaganiami w ofercie</w:t>
      </w:r>
      <w:r w:rsidR="00D7664A" w:rsidRPr="00D7664A">
        <w:rPr>
          <w:bCs/>
        </w:rPr>
        <w:t>.</w:t>
      </w:r>
    </w:p>
    <w:p w14:paraId="4E7DCBA5" w14:textId="17D51FF5" w:rsidR="00F778F0" w:rsidRPr="00D7664A" w:rsidRDefault="00F778F0" w:rsidP="00D7664A">
      <w:pPr>
        <w:numPr>
          <w:ilvl w:val="1"/>
          <w:numId w:val="1"/>
        </w:numPr>
        <w:spacing w:after="7"/>
        <w:ind w:right="0" w:firstLine="283"/>
        <w:rPr>
          <w:bCs/>
        </w:rPr>
      </w:pPr>
      <w:r>
        <w:rPr>
          <w:bCs/>
        </w:rPr>
        <w:t xml:space="preserve">Moc maksymalna dla kompletu opraw nie może przekroczyć </w:t>
      </w:r>
      <w:r w:rsidR="00E53ECE">
        <w:rPr>
          <w:bCs/>
        </w:rPr>
        <w:t xml:space="preserve">45,7 </w:t>
      </w:r>
      <w:r>
        <w:rPr>
          <w:bCs/>
        </w:rPr>
        <w:t>kW</w:t>
      </w:r>
    </w:p>
    <w:p w14:paraId="472D26DC" w14:textId="610BB52B" w:rsidR="006069F4" w:rsidRPr="006069F4" w:rsidRDefault="00D7664A" w:rsidP="006069F4">
      <w:pPr>
        <w:numPr>
          <w:ilvl w:val="1"/>
          <w:numId w:val="1"/>
        </w:numPr>
        <w:spacing w:after="7"/>
        <w:ind w:right="0" w:firstLine="283"/>
        <w:rPr>
          <w:bCs/>
        </w:rPr>
      </w:pPr>
      <w:r w:rsidRPr="00D7664A">
        <w:rPr>
          <w:u w:val="single"/>
        </w:rPr>
        <w:t xml:space="preserve">Parametry opraw </w:t>
      </w:r>
      <w:r w:rsidR="006069F4">
        <w:rPr>
          <w:u w:val="single"/>
        </w:rPr>
        <w:t>drogowych</w:t>
      </w:r>
      <w:r w:rsidRPr="00D7664A">
        <w:rPr>
          <w:u w:val="single"/>
        </w:rPr>
        <w:t>:</w:t>
      </w:r>
    </w:p>
    <w:p w14:paraId="2A38A036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1) Oprawy drogowe z </w:t>
      </w:r>
      <w:proofErr w:type="spellStart"/>
      <w:r w:rsidRPr="00260352">
        <w:rPr>
          <w:sz w:val="22"/>
          <w:szCs w:val="22"/>
        </w:rPr>
        <w:t>ledowym</w:t>
      </w:r>
      <w:proofErr w:type="spellEnd"/>
      <w:r w:rsidRPr="00260352">
        <w:rPr>
          <w:sz w:val="22"/>
          <w:szCs w:val="22"/>
        </w:rPr>
        <w:t xml:space="preserve"> źródłem światła, umieszczonym w płaszczyźnie poziomej, </w:t>
      </w:r>
    </w:p>
    <w:p w14:paraId="59670CBC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2) Dwukomorowy korpus oprawy drogowej: ciśnieniowy odlew aluminiowy, w całości malowany proszkowo według kolorów z palety RAL, </w:t>
      </w:r>
    </w:p>
    <w:p w14:paraId="61606F52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3) Oprawy w temperaturze barwowej 2500-4000K, dla przejść dla pieszych 4000-6000, </w:t>
      </w:r>
    </w:p>
    <w:p w14:paraId="4B9B93A0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4) Rozbieralny korpus oprawy umożliwiający dostęp do zasilacza, </w:t>
      </w:r>
    </w:p>
    <w:p w14:paraId="2A7B3E1D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5) Korpus oraz pokrywa odporna na czynniki atmosferyczne i promieniowanie UV, </w:t>
      </w:r>
    </w:p>
    <w:p w14:paraId="550AA1F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6) Klasa ochronności opraw oświetleniowych: II, </w:t>
      </w:r>
    </w:p>
    <w:p w14:paraId="13F4933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7) Klosz ze szkła hartowanego, </w:t>
      </w:r>
    </w:p>
    <w:p w14:paraId="28C082F1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8) Klasa szczelności opraw: minimum IP66, </w:t>
      </w:r>
    </w:p>
    <w:p w14:paraId="7C6C28D8" w14:textId="7777777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 xml:space="preserve">9) Współczynnik konserwacji: 0,85, </w:t>
      </w:r>
    </w:p>
    <w:p w14:paraId="197F00DB" w14:textId="539C010F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0</w:t>
      </w:r>
      <w:r w:rsidRPr="00260352">
        <w:rPr>
          <w:sz w:val="22"/>
          <w:szCs w:val="22"/>
        </w:rPr>
        <w:t xml:space="preserve">) Oferowane oprawy muszą być wyposażone w złącza ZHAGA i posiadać certyfikat ZHAGA D4i, </w:t>
      </w:r>
    </w:p>
    <w:p w14:paraId="38509B70" w14:textId="3E196B57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1</w:t>
      </w:r>
      <w:r w:rsidRPr="00260352">
        <w:rPr>
          <w:sz w:val="22"/>
          <w:szCs w:val="22"/>
        </w:rPr>
        <w:t xml:space="preserve">) Utrzymanie strumienia świetlnego w czasie przy 100 000h nie mniejsze niż 90%, określone parametrem L90B10 </w:t>
      </w:r>
    </w:p>
    <w:p w14:paraId="0767F547" w14:textId="25F4C38C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2</w:t>
      </w:r>
      <w:r w:rsidRPr="00260352">
        <w:rPr>
          <w:sz w:val="22"/>
          <w:szCs w:val="22"/>
        </w:rPr>
        <w:t xml:space="preserve">) Wskaźnik oddawania barw Ra ≥ 70, </w:t>
      </w:r>
    </w:p>
    <w:p w14:paraId="3A395340" w14:textId="747C03D8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3</w:t>
      </w:r>
      <w:r w:rsidRPr="00260352">
        <w:rPr>
          <w:sz w:val="22"/>
          <w:szCs w:val="22"/>
        </w:rPr>
        <w:t xml:space="preserve">) Odporność na uderzenia co najmniej IK08, </w:t>
      </w:r>
    </w:p>
    <w:p w14:paraId="443B8967" w14:textId="72F80999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4</w:t>
      </w:r>
      <w:r w:rsidRPr="00260352">
        <w:rPr>
          <w:sz w:val="22"/>
          <w:szCs w:val="22"/>
        </w:rPr>
        <w:t xml:space="preserve">) Napięcie znamionowe oprawy 230 V +/- 5%, 50 </w:t>
      </w:r>
      <w:proofErr w:type="spellStart"/>
      <w:r w:rsidRPr="00260352">
        <w:rPr>
          <w:sz w:val="22"/>
          <w:szCs w:val="22"/>
        </w:rPr>
        <w:t>Hz</w:t>
      </w:r>
      <w:proofErr w:type="spellEnd"/>
      <w:r w:rsidRPr="00260352">
        <w:rPr>
          <w:sz w:val="22"/>
          <w:szCs w:val="22"/>
        </w:rPr>
        <w:t xml:space="preserve">, </w:t>
      </w:r>
    </w:p>
    <w:p w14:paraId="3B131560" w14:textId="6307260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5</w:t>
      </w:r>
      <w:r w:rsidRPr="00260352">
        <w:rPr>
          <w:sz w:val="22"/>
          <w:szCs w:val="22"/>
        </w:rPr>
        <w:t xml:space="preserve">) Odporność oprawy na przepięcia:10 KV, </w:t>
      </w:r>
    </w:p>
    <w:p w14:paraId="6627DF5C" w14:textId="4F924D99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lastRenderedPageBreak/>
        <w:t>1</w:t>
      </w:r>
      <w:r w:rsidR="00883FCD">
        <w:rPr>
          <w:sz w:val="22"/>
          <w:szCs w:val="22"/>
        </w:rPr>
        <w:t>6</w:t>
      </w:r>
      <w:r w:rsidRPr="00260352">
        <w:rPr>
          <w:sz w:val="22"/>
          <w:szCs w:val="22"/>
        </w:rPr>
        <w:t>) Oprawa musi posiadać możliwość montażu na wysięgniku lub bezpośrednio na słupie z regulacją pochylenia w zakresie minimum -15</w:t>
      </w:r>
      <w:r w:rsidR="0080780A">
        <w:rPr>
          <w:sz w:val="22"/>
          <w:szCs w:val="22"/>
        </w:rPr>
        <w:t>°</w:t>
      </w:r>
      <w:r w:rsidRPr="00260352">
        <w:rPr>
          <w:sz w:val="22"/>
          <w:szCs w:val="22"/>
        </w:rPr>
        <w:t xml:space="preserve"> do +15</w:t>
      </w:r>
      <w:r w:rsidR="0080780A">
        <w:rPr>
          <w:sz w:val="22"/>
          <w:szCs w:val="22"/>
        </w:rPr>
        <w:t>°</w:t>
      </w:r>
      <w:r w:rsidRPr="00260352">
        <w:rPr>
          <w:sz w:val="22"/>
          <w:szCs w:val="22"/>
        </w:rPr>
        <w:t xml:space="preserve">, </w:t>
      </w:r>
    </w:p>
    <w:p w14:paraId="22B0C44F" w14:textId="3894076E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7</w:t>
      </w:r>
      <w:r w:rsidRPr="00260352">
        <w:rPr>
          <w:sz w:val="22"/>
          <w:szCs w:val="22"/>
        </w:rPr>
        <w:t xml:space="preserve">) Zasilacz w oprawie musi umożliwiać redukcję mocy i strumienia świetlnego oprawy, </w:t>
      </w:r>
    </w:p>
    <w:p w14:paraId="136FC579" w14:textId="41F76323" w:rsidR="005A7AEE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1</w:t>
      </w:r>
      <w:r w:rsidR="00883FCD">
        <w:rPr>
          <w:sz w:val="22"/>
          <w:szCs w:val="22"/>
        </w:rPr>
        <w:t>8</w:t>
      </w:r>
      <w:r w:rsidRPr="00260352">
        <w:rPr>
          <w:sz w:val="22"/>
          <w:szCs w:val="22"/>
        </w:rPr>
        <w:t xml:space="preserve">) </w:t>
      </w:r>
      <w:r w:rsidR="005A7AEE" w:rsidRPr="00345D95">
        <w:rPr>
          <w:sz w:val="22"/>
          <w:szCs w:val="22"/>
        </w:rPr>
        <w:t>We wszystkich oprawach należy zastosować zasilacz jednego producenta, umożliwiający zaprogramowanie redukcji mocy: 5-stopniowej – szczegóły będą podane w zamówieniu oraz nawiązanie komunikacji w systemie DALI.</w:t>
      </w:r>
    </w:p>
    <w:p w14:paraId="7267D626" w14:textId="6D6F9878" w:rsidR="006069F4" w:rsidRPr="00260352" w:rsidRDefault="005A7AEE" w:rsidP="006069F4">
      <w:pPr>
        <w:pStyle w:val="Default"/>
        <w:spacing w:after="13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19) </w:t>
      </w:r>
      <w:r w:rsidR="006069F4" w:rsidRPr="00260352">
        <w:rPr>
          <w:sz w:val="22"/>
          <w:szCs w:val="22"/>
        </w:rPr>
        <w:t xml:space="preserve">Moc znamionowa zasilacza powinny być jak najbardziej dostosowana do mocy oprawy, </w:t>
      </w:r>
    </w:p>
    <w:p w14:paraId="148F6CA3" w14:textId="0BB47BC7" w:rsidR="006069F4" w:rsidRPr="00260352" w:rsidRDefault="005A7AEE" w:rsidP="006069F4">
      <w:pPr>
        <w:pStyle w:val="Default"/>
        <w:spacing w:after="13"/>
        <w:ind w:left="360"/>
        <w:rPr>
          <w:sz w:val="22"/>
          <w:szCs w:val="22"/>
        </w:rPr>
      </w:pPr>
      <w:r>
        <w:rPr>
          <w:sz w:val="22"/>
          <w:szCs w:val="22"/>
        </w:rPr>
        <w:t>20</w:t>
      </w:r>
      <w:r w:rsidR="006069F4" w:rsidRPr="00260352">
        <w:rPr>
          <w:sz w:val="22"/>
          <w:szCs w:val="22"/>
        </w:rPr>
        <w:t xml:space="preserve">) Oprawy LED nie mogą generować mocy biernej pojemnościowej poza dopuszczalnym poziomem PF≥ 0,95, </w:t>
      </w:r>
      <w:proofErr w:type="gramStart"/>
      <w:r w:rsidR="006069F4" w:rsidRPr="00260352">
        <w:rPr>
          <w:sz w:val="22"/>
          <w:szCs w:val="22"/>
        </w:rPr>
        <w:t>cos</w:t>
      </w:r>
      <w:proofErr w:type="gramEnd"/>
      <w:r w:rsidR="006069F4" w:rsidRPr="00260352">
        <w:rPr>
          <w:sz w:val="22"/>
          <w:szCs w:val="22"/>
        </w:rPr>
        <w:t xml:space="preserve"> φ ≥0,95 w I </w:t>
      </w:r>
      <w:proofErr w:type="spellStart"/>
      <w:r w:rsidR="006069F4" w:rsidRPr="00260352">
        <w:rPr>
          <w:sz w:val="22"/>
          <w:szCs w:val="22"/>
        </w:rPr>
        <w:t>i</w:t>
      </w:r>
      <w:proofErr w:type="spellEnd"/>
      <w:r w:rsidR="006069F4" w:rsidRPr="00260352">
        <w:rPr>
          <w:sz w:val="22"/>
          <w:szCs w:val="22"/>
        </w:rPr>
        <w:t xml:space="preserve"> IV ćwiartce. </w:t>
      </w:r>
    </w:p>
    <w:p w14:paraId="19481B1C" w14:textId="3BE29DC6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1</w:t>
      </w:r>
      <w:r w:rsidRPr="00260352">
        <w:rPr>
          <w:sz w:val="22"/>
          <w:szCs w:val="22"/>
        </w:rPr>
        <w:t xml:space="preserve">) Oprawa przystosowana do pracy w temperaturach od -35°C do +40°C, </w:t>
      </w:r>
    </w:p>
    <w:p w14:paraId="7E44B64B" w14:textId="3FDD657B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2</w:t>
      </w:r>
      <w:r w:rsidRPr="00260352">
        <w:rPr>
          <w:sz w:val="22"/>
          <w:szCs w:val="22"/>
        </w:rPr>
        <w:t xml:space="preserve">) Zasilacz mikroprocesorowy musi być wyposażony w zabezpieczenia: przeciążeniowe, przeciwzwarciowe, termiczne oraz nadnapięciowe, </w:t>
      </w:r>
    </w:p>
    <w:p w14:paraId="2D125322" w14:textId="371E1C2D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3</w:t>
      </w:r>
      <w:r w:rsidRPr="00260352">
        <w:rPr>
          <w:sz w:val="22"/>
          <w:szCs w:val="22"/>
        </w:rPr>
        <w:t xml:space="preserve">) Oprawa musi posiadać wymienny moduł LED, </w:t>
      </w:r>
    </w:p>
    <w:p w14:paraId="330C0ACE" w14:textId="3EAABBC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4</w:t>
      </w:r>
      <w:r w:rsidRPr="00260352">
        <w:rPr>
          <w:sz w:val="22"/>
          <w:szCs w:val="22"/>
        </w:rPr>
        <w:t xml:space="preserve">) Moduł LED wyposażony w czujnik termiczny zabezpieczający diody przed przegrzaniem, </w:t>
      </w:r>
    </w:p>
    <w:p w14:paraId="7007574D" w14:textId="0222493E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5</w:t>
      </w:r>
      <w:r w:rsidRPr="00260352">
        <w:rPr>
          <w:sz w:val="22"/>
          <w:szCs w:val="22"/>
        </w:rPr>
        <w:t xml:space="preserve">) Oprawa musi posiadać oznaczenie CE, certyfikat ENEC i ENEC+ wydany przez laboratorium zlokalizowane na terenie UE oraz posiadać stosowne deklaracje; </w:t>
      </w:r>
    </w:p>
    <w:p w14:paraId="64AD1656" w14:textId="29326CD0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6</w:t>
      </w:r>
      <w:r w:rsidRPr="00260352">
        <w:rPr>
          <w:sz w:val="22"/>
          <w:szCs w:val="22"/>
        </w:rPr>
        <w:t xml:space="preserve">) W przypadku opraw montowanych na elewacjach lub w gęstej zabudowie układ optyczny powinien mieć możliwość doposażenia w tzw. „non </w:t>
      </w:r>
      <w:proofErr w:type="spellStart"/>
      <w:r w:rsidRPr="00260352">
        <w:rPr>
          <w:sz w:val="22"/>
          <w:szCs w:val="22"/>
        </w:rPr>
        <w:t>back</w:t>
      </w:r>
      <w:proofErr w:type="spellEnd"/>
      <w:r w:rsidRPr="00260352">
        <w:rPr>
          <w:sz w:val="22"/>
          <w:szCs w:val="22"/>
        </w:rPr>
        <w:t xml:space="preserve"> </w:t>
      </w:r>
      <w:proofErr w:type="spellStart"/>
      <w:r w:rsidRPr="00260352">
        <w:rPr>
          <w:sz w:val="22"/>
          <w:szCs w:val="22"/>
        </w:rPr>
        <w:t>light</w:t>
      </w:r>
      <w:proofErr w:type="spellEnd"/>
      <w:r w:rsidRPr="00260352">
        <w:rPr>
          <w:sz w:val="22"/>
          <w:szCs w:val="22"/>
        </w:rPr>
        <w:t xml:space="preserve">” (ograniczenie świecenia w tylną przestrzeń), </w:t>
      </w:r>
    </w:p>
    <w:p w14:paraId="5F3EDAB3" w14:textId="29531C48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7</w:t>
      </w:r>
      <w:r w:rsidRPr="00260352">
        <w:rPr>
          <w:sz w:val="22"/>
          <w:szCs w:val="22"/>
        </w:rPr>
        <w:t xml:space="preserve">) Wykonawca ma obowiązek zapewnienia zamienników w przypadku braku dostępności wszystkich elementów eksploatacyjnych oprawy w czasie trwania gwarancji udzielonej na oprawę; </w:t>
      </w:r>
    </w:p>
    <w:p w14:paraId="0958EFBB" w14:textId="23F15D74" w:rsidR="006069F4" w:rsidRPr="00260352" w:rsidRDefault="006069F4" w:rsidP="006069F4">
      <w:pPr>
        <w:pStyle w:val="Default"/>
        <w:spacing w:after="13"/>
        <w:ind w:left="360"/>
        <w:rPr>
          <w:sz w:val="22"/>
          <w:szCs w:val="22"/>
        </w:rPr>
      </w:pPr>
      <w:r w:rsidRPr="00260352">
        <w:rPr>
          <w:sz w:val="22"/>
          <w:szCs w:val="22"/>
        </w:rPr>
        <w:t>2</w:t>
      </w:r>
      <w:r w:rsidR="00883FCD">
        <w:rPr>
          <w:sz w:val="22"/>
          <w:szCs w:val="22"/>
        </w:rPr>
        <w:t>8</w:t>
      </w:r>
      <w:r w:rsidRPr="00260352">
        <w:rPr>
          <w:sz w:val="22"/>
          <w:szCs w:val="22"/>
        </w:rPr>
        <w:t xml:space="preserve">) Zwycięski oferent ma obowiązek wykonać bilans mocy opraw oświetleniowych po wykonanej modernizacji. </w:t>
      </w:r>
    </w:p>
    <w:p w14:paraId="290868AA" w14:textId="7E0728EC" w:rsidR="006069F4" w:rsidRPr="006069F4" w:rsidRDefault="00883FCD" w:rsidP="006069F4">
      <w:pPr>
        <w:pStyle w:val="Default"/>
        <w:ind w:left="360"/>
        <w:rPr>
          <w:sz w:val="22"/>
          <w:szCs w:val="22"/>
        </w:rPr>
      </w:pPr>
      <w:r>
        <w:rPr>
          <w:sz w:val="22"/>
          <w:szCs w:val="22"/>
        </w:rPr>
        <w:t>29</w:t>
      </w:r>
      <w:r w:rsidR="006069F4" w:rsidRPr="00260352">
        <w:rPr>
          <w:sz w:val="22"/>
          <w:szCs w:val="22"/>
        </w:rPr>
        <w:t xml:space="preserve">) Zwycięski oferent ma obowiązek </w:t>
      </w:r>
      <w:r w:rsidR="006069F4" w:rsidRPr="006069F4">
        <w:rPr>
          <w:sz w:val="22"/>
          <w:szCs w:val="22"/>
        </w:rPr>
        <w:t xml:space="preserve">oznaczyć na kartonach z oprawami numer sytuacji drogowej do której dana oprawa została przyporządkowana. </w:t>
      </w:r>
    </w:p>
    <w:p w14:paraId="176426BE" w14:textId="77777777" w:rsidR="00D7664A" w:rsidRPr="00D7664A" w:rsidRDefault="00D7664A" w:rsidP="006069F4">
      <w:pPr>
        <w:ind w:left="0" w:firstLine="0"/>
      </w:pPr>
    </w:p>
    <w:p w14:paraId="782F1445" w14:textId="2B448B7D" w:rsidR="00D7664A" w:rsidRPr="00D7664A" w:rsidRDefault="00D7664A" w:rsidP="00D7664A">
      <w:pPr>
        <w:pStyle w:val="Akapitzlist"/>
        <w:numPr>
          <w:ilvl w:val="1"/>
          <w:numId w:val="1"/>
        </w:numPr>
        <w:spacing w:line="240" w:lineRule="auto"/>
        <w:rPr>
          <w:u w:val="single"/>
        </w:rPr>
      </w:pPr>
      <w:r w:rsidRPr="00D7664A">
        <w:rPr>
          <w:u w:val="single"/>
        </w:rPr>
        <w:t>Oznakowanie osprzętu do opraw oświetleniowych</w:t>
      </w:r>
    </w:p>
    <w:p w14:paraId="4129A5AF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 xml:space="preserve">Tabliczka znamionowa powinna być wykonana w sposób trwały i umieszczona wewnątrz oprawy. </w:t>
      </w:r>
    </w:p>
    <w:p w14:paraId="75C605E9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>Każdy element prefabrykowany osprzętu do opraw oświetleniowych ma posiadać wyróżnik pozwalający na jednoznaczną identyfikację producenta.</w:t>
      </w:r>
    </w:p>
    <w:p w14:paraId="6B12AA56" w14:textId="77777777" w:rsidR="00B662FF" w:rsidRDefault="00B662FF" w:rsidP="00D610EE">
      <w:pPr>
        <w:spacing w:after="0" w:line="259" w:lineRule="auto"/>
        <w:ind w:left="0" w:right="0" w:firstLine="0"/>
        <w:jc w:val="left"/>
      </w:pPr>
    </w:p>
    <w:p w14:paraId="4B506AE3" w14:textId="77777777" w:rsidR="0073183B" w:rsidRDefault="0073183B" w:rsidP="0073183B">
      <w:pPr>
        <w:spacing w:after="7"/>
        <w:ind w:left="705" w:right="0" w:firstLine="0"/>
        <w:rPr>
          <w:b/>
        </w:rPr>
      </w:pPr>
    </w:p>
    <w:p w14:paraId="0388D221" w14:textId="43B3299E" w:rsidR="0073183B" w:rsidRDefault="0073183B" w:rsidP="0073183B">
      <w:pPr>
        <w:spacing w:after="7"/>
        <w:ind w:left="705" w:right="0" w:firstLine="0"/>
      </w:pPr>
      <w:r>
        <w:rPr>
          <w:b/>
        </w:rPr>
        <w:t xml:space="preserve">Kary umowne. </w:t>
      </w:r>
    </w:p>
    <w:p w14:paraId="32F1E846" w14:textId="77777777" w:rsidR="0073183B" w:rsidRDefault="0073183B" w:rsidP="0073183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5688652" w14:textId="77777777" w:rsidR="0073183B" w:rsidRDefault="0073183B" w:rsidP="0073183B">
      <w:pPr>
        <w:spacing w:after="285"/>
        <w:ind w:left="-5" w:right="0"/>
      </w:pPr>
      <w:r>
        <w:t xml:space="preserve">Zamawiający jest uprawniony do naliczenia Dostawcy kar umownych z tytułu niewykonania lub nienależytego wykonania przedmiotu dostawy: </w:t>
      </w:r>
    </w:p>
    <w:p w14:paraId="15F5B6CF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realizacji dostawy względem terminu określonego w Zamówieniu Dostawy – w wysokości 0,5% wartości opóźnionego zamówienia netto za każdy dzień opóźnienia, przy czym wartość tę stanowi iloczyn średniej wartości oprawy (ustalonej zgodnie z pkt g) i ilości opraw dostarczonych po terminie </w:t>
      </w:r>
    </w:p>
    <w:p w14:paraId="0E72CD76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w usunięciu wady, naprawy lub wymiany gwarancyjnej wobec warunków gwarancji – w wysokości 0,2% wartości netto danej oprawy, za każdy dzień opóźnienia liczony od upływu terminu określonego w niniejszym Zapytaniu o cenę. </w:t>
      </w:r>
    </w:p>
    <w:p w14:paraId="6540EC6D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odstąpienie przez Dostawcę od realizacji Zamówienia Dostawy z przyczyn nie leżących po stronie </w:t>
      </w:r>
    </w:p>
    <w:p w14:paraId="06BAF328" w14:textId="5F5A12DB" w:rsidR="0073183B" w:rsidRDefault="0073183B" w:rsidP="0073183B">
      <w:pPr>
        <w:ind w:left="730" w:right="0"/>
      </w:pPr>
      <w:r>
        <w:t xml:space="preserve">Zamawiającego – w wysokości 20% całkowitej wartości netto zamówienia; </w:t>
      </w:r>
    </w:p>
    <w:p w14:paraId="4D0F0C0A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łączna wysokość kar umownych nie może przekroczyć kwoty równej 100% wartości zamówionych materiałów; </w:t>
      </w:r>
    </w:p>
    <w:p w14:paraId="554DB28C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lastRenderedPageBreak/>
        <w:t xml:space="preserve">w przypadku, gdy kary umowne nie pokrywają wielkości poniesionych szkód, Zamawiający ma prawo żądać, na zasadach ogólnych, odszkodowania uzupełniającego przewyższającego wysokość zastrzeżonych kar umownych aż do pełnego pokrycia szkody; </w:t>
      </w:r>
    </w:p>
    <w:p w14:paraId="20C799AD" w14:textId="0EDD874C" w:rsidR="0073183B" w:rsidRDefault="0073183B" w:rsidP="0073183B">
      <w:pPr>
        <w:numPr>
          <w:ilvl w:val="1"/>
          <w:numId w:val="2"/>
        </w:numPr>
        <w:ind w:right="0" w:hanging="360"/>
      </w:pPr>
      <w:r>
        <w:t>podstawą do zapłaty kary umownej jest Nota obciążeniowa wystawiona przez Zamawiającego. Po wystawieniu Noty obciążeniowej przez Zamawiającego, płatność z tytułu kary umownej zostanie potrącona z należnym Dostawcy wynagrodzeniem z tytułu realizacji przedmiotu dostawy.</w:t>
      </w:r>
    </w:p>
    <w:p w14:paraId="3045DF00" w14:textId="493F9653" w:rsidR="0073183B" w:rsidRDefault="0073183B" w:rsidP="00D7664A">
      <w:pPr>
        <w:numPr>
          <w:ilvl w:val="1"/>
          <w:numId w:val="2"/>
        </w:numPr>
        <w:spacing w:after="285"/>
        <w:ind w:right="0" w:hanging="360"/>
      </w:pPr>
      <w:r>
        <w:t xml:space="preserve">średnią wartość oprawy stanowi iloraz wartości całego Zamówienia Dostawy oraz ilości wszystkich opraw w ramach Zamówienia Dostawy. </w:t>
      </w:r>
    </w:p>
    <w:sectPr w:rsidR="00731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571E"/>
    <w:multiLevelType w:val="hybridMultilevel"/>
    <w:tmpl w:val="C4B4E4F2"/>
    <w:lvl w:ilvl="0" w:tplc="977040E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6421E">
      <w:start w:val="5"/>
      <w:numFmt w:val="decimal"/>
      <w:lvlRestart w:val="0"/>
      <w:lvlText w:val="%2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68BE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4832F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A2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88B3E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12811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A65A3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A492C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0446F8"/>
    <w:multiLevelType w:val="hybridMultilevel"/>
    <w:tmpl w:val="65D86C3E"/>
    <w:lvl w:ilvl="0" w:tplc="1A103AB8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04AB1"/>
    <w:multiLevelType w:val="hybridMultilevel"/>
    <w:tmpl w:val="399A3878"/>
    <w:lvl w:ilvl="0" w:tplc="E6A2977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3811CE">
      <w:start w:val="1"/>
      <w:numFmt w:val="lowerLetter"/>
      <w:lvlRestart w:val="0"/>
      <w:lvlText w:val="%2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DC930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1ACE6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09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28219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22644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34234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A5F7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9AA7504"/>
    <w:multiLevelType w:val="hybridMultilevel"/>
    <w:tmpl w:val="FF060F82"/>
    <w:lvl w:ilvl="0" w:tplc="446E978C">
      <w:start w:val="1"/>
      <w:numFmt w:val="decimal"/>
      <w:lvlText w:val="%1)"/>
      <w:lvlJc w:val="left"/>
      <w:pPr>
        <w:ind w:left="64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A092DE9"/>
    <w:multiLevelType w:val="hybridMultilevel"/>
    <w:tmpl w:val="00BCABEE"/>
    <w:lvl w:ilvl="0" w:tplc="4C969E14">
      <w:start w:val="10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864E3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1A608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6E9B8E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067A9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649CCE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BE4B3E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964558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548496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98423F"/>
    <w:multiLevelType w:val="hybridMultilevel"/>
    <w:tmpl w:val="3F78459A"/>
    <w:lvl w:ilvl="0" w:tplc="8470455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B810F0">
      <w:start w:val="1"/>
      <w:numFmt w:val="lowerLetter"/>
      <w:lvlRestart w:val="0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C8DAA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E4D17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C8B70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32660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9A372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3A755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04C5D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8989497">
    <w:abstractNumId w:val="2"/>
  </w:num>
  <w:num w:numId="2" w16cid:durableId="199975955">
    <w:abstractNumId w:val="5"/>
  </w:num>
  <w:num w:numId="3" w16cid:durableId="1912739961">
    <w:abstractNumId w:val="0"/>
  </w:num>
  <w:num w:numId="4" w16cid:durableId="1897667812">
    <w:abstractNumId w:val="4"/>
  </w:num>
  <w:num w:numId="5" w16cid:durableId="1864199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7516729">
    <w:abstractNumId w:val="3"/>
  </w:num>
  <w:num w:numId="7" w16cid:durableId="1789621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0EE"/>
    <w:rsid w:val="00011754"/>
    <w:rsid w:val="00032FC7"/>
    <w:rsid w:val="00037B36"/>
    <w:rsid w:val="00043137"/>
    <w:rsid w:val="00054FD2"/>
    <w:rsid w:val="000C49AD"/>
    <w:rsid w:val="000E4DDE"/>
    <w:rsid w:val="000F57F3"/>
    <w:rsid w:val="000F5FEF"/>
    <w:rsid w:val="0014574B"/>
    <w:rsid w:val="00151655"/>
    <w:rsid w:val="00176D8B"/>
    <w:rsid w:val="00194D83"/>
    <w:rsid w:val="001A4E3D"/>
    <w:rsid w:val="002312E1"/>
    <w:rsid w:val="00232AB1"/>
    <w:rsid w:val="00253ECF"/>
    <w:rsid w:val="00260352"/>
    <w:rsid w:val="00290594"/>
    <w:rsid w:val="002E6ECB"/>
    <w:rsid w:val="00313C30"/>
    <w:rsid w:val="00332A89"/>
    <w:rsid w:val="003F1169"/>
    <w:rsid w:val="00410917"/>
    <w:rsid w:val="00423C0E"/>
    <w:rsid w:val="0043259C"/>
    <w:rsid w:val="0045696C"/>
    <w:rsid w:val="00474C62"/>
    <w:rsid w:val="005854F8"/>
    <w:rsid w:val="005A411C"/>
    <w:rsid w:val="005A7AEE"/>
    <w:rsid w:val="005F422F"/>
    <w:rsid w:val="006069F4"/>
    <w:rsid w:val="00615EFF"/>
    <w:rsid w:val="00617C09"/>
    <w:rsid w:val="00623EEC"/>
    <w:rsid w:val="00650B00"/>
    <w:rsid w:val="00697C88"/>
    <w:rsid w:val="006F69D1"/>
    <w:rsid w:val="006F6A08"/>
    <w:rsid w:val="00730E56"/>
    <w:rsid w:val="0073183B"/>
    <w:rsid w:val="007502BA"/>
    <w:rsid w:val="00755930"/>
    <w:rsid w:val="0077383D"/>
    <w:rsid w:val="007B63F6"/>
    <w:rsid w:val="007D1955"/>
    <w:rsid w:val="007F033C"/>
    <w:rsid w:val="007F106C"/>
    <w:rsid w:val="0080780A"/>
    <w:rsid w:val="008179DB"/>
    <w:rsid w:val="00825BC4"/>
    <w:rsid w:val="00844132"/>
    <w:rsid w:val="00883FCD"/>
    <w:rsid w:val="00896D26"/>
    <w:rsid w:val="008B36FD"/>
    <w:rsid w:val="008C32AC"/>
    <w:rsid w:val="008E135C"/>
    <w:rsid w:val="00914CB0"/>
    <w:rsid w:val="00933DD3"/>
    <w:rsid w:val="009C5548"/>
    <w:rsid w:val="00A43366"/>
    <w:rsid w:val="00A80378"/>
    <w:rsid w:val="00AA3091"/>
    <w:rsid w:val="00AF6840"/>
    <w:rsid w:val="00B4564C"/>
    <w:rsid w:val="00B46181"/>
    <w:rsid w:val="00B61C69"/>
    <w:rsid w:val="00B662FF"/>
    <w:rsid w:val="00B90F72"/>
    <w:rsid w:val="00BC2A18"/>
    <w:rsid w:val="00BC5660"/>
    <w:rsid w:val="00C0266B"/>
    <w:rsid w:val="00C04F46"/>
    <w:rsid w:val="00C07580"/>
    <w:rsid w:val="00C07938"/>
    <w:rsid w:val="00C22597"/>
    <w:rsid w:val="00CB0084"/>
    <w:rsid w:val="00CC0BE2"/>
    <w:rsid w:val="00D11558"/>
    <w:rsid w:val="00D30883"/>
    <w:rsid w:val="00D610EE"/>
    <w:rsid w:val="00D7664A"/>
    <w:rsid w:val="00D8068C"/>
    <w:rsid w:val="00DA12B7"/>
    <w:rsid w:val="00DB5BB1"/>
    <w:rsid w:val="00DD74ED"/>
    <w:rsid w:val="00E015B0"/>
    <w:rsid w:val="00E019B3"/>
    <w:rsid w:val="00E14C8E"/>
    <w:rsid w:val="00E3601F"/>
    <w:rsid w:val="00E53ECE"/>
    <w:rsid w:val="00E85C93"/>
    <w:rsid w:val="00EB3B79"/>
    <w:rsid w:val="00EE52A6"/>
    <w:rsid w:val="00F06E6A"/>
    <w:rsid w:val="00F222FF"/>
    <w:rsid w:val="00F72E0E"/>
    <w:rsid w:val="00F7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FFA5"/>
  <w15:chartTrackingRefBased/>
  <w15:docId w15:val="{4E16AE6A-B85E-4B66-824E-764B1628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0EE"/>
    <w:pPr>
      <w:spacing w:after="5" w:line="249" w:lineRule="auto"/>
      <w:ind w:left="10" w:right="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610E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D74ED"/>
    <w:pPr>
      <w:ind w:left="720"/>
      <w:contextualSpacing/>
    </w:pPr>
  </w:style>
  <w:style w:type="paragraph" w:customStyle="1" w:styleId="Default">
    <w:name w:val="Default"/>
    <w:rsid w:val="00606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38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383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83D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Kukulska Katarzyna (25008341)</dc:creator>
  <cp:keywords/>
  <dc:description/>
  <cp:lastModifiedBy>Sulimierski Marek</cp:lastModifiedBy>
  <cp:revision>2</cp:revision>
  <dcterms:created xsi:type="dcterms:W3CDTF">2026-04-15T10:30:00Z</dcterms:created>
  <dcterms:modified xsi:type="dcterms:W3CDTF">2026-04-15T10:30:00Z</dcterms:modified>
</cp:coreProperties>
</file>